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20" w:before="120" w:line="360" w:lineRule="auto"/>
        <w:jc w:val="center"/>
        <w:rPr>
          <w:rFonts w:ascii="Arabic Typesetting" w:cs="Arabic Typesetting" w:eastAsia="Arabic Typesetting" w:hAnsi="Arabic Typesetting"/>
          <w:b w:val="1"/>
          <w:sz w:val="56"/>
          <w:szCs w:val="56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كلمة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رئيسة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المجلس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الوطني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لحقوق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الإنسان</w:t>
      </w:r>
    </w:p>
    <w:p w:rsidR="00000000" w:rsidDel="00000000" w:rsidP="00000000" w:rsidRDefault="00000000" w:rsidRPr="00000000" w14:paraId="00000002">
      <w:pPr>
        <w:bidi w:val="1"/>
        <w:spacing w:after="120" w:before="120" w:line="360" w:lineRule="auto"/>
        <w:jc w:val="center"/>
        <w:rPr>
          <w:rFonts w:ascii="Arabic Typesetting" w:cs="Arabic Typesetting" w:eastAsia="Arabic Typesetting" w:hAnsi="Arabic Typesetting"/>
          <w:b w:val="1"/>
          <w:sz w:val="56"/>
          <w:szCs w:val="56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خلال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حفل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تسلم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جائزة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شمال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-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جنوب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2023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بمجلس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أوروبا</w:t>
      </w:r>
    </w:p>
    <w:p w:rsidR="00000000" w:rsidDel="00000000" w:rsidP="00000000" w:rsidRDefault="00000000" w:rsidRPr="00000000" w14:paraId="00000003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فخامة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السيد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رئيس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الجمهورية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البرتغالية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مارسيلو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ريبيلو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دي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سوزا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،</w:t>
      </w:r>
    </w:p>
    <w:p w:rsidR="00000000" w:rsidDel="00000000" w:rsidP="00000000" w:rsidRDefault="00000000" w:rsidRPr="00000000" w14:paraId="00000005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فخامة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السيد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رئيس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الجمعية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الوطنية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الجمهورية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البرتغالية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(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البرلمان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)،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خوسي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بيدرو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أكيار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-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برانكو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سعادة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نائب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الأمين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العام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لمجلس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أوروبا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السيد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بيورن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بيرك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،</w:t>
      </w:r>
    </w:p>
    <w:p w:rsidR="00000000" w:rsidDel="00000000" w:rsidP="00000000" w:rsidRDefault="00000000" w:rsidRPr="00000000" w14:paraId="00000007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سعادة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السفيرة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فرانشيسكا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كاميليري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فيتيغر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السيدة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رئيسة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اللجنة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التنفيذية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لمركز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شمال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-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جنوب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،</w:t>
      </w:r>
    </w:p>
    <w:p w:rsidR="00000000" w:rsidDel="00000000" w:rsidP="00000000" w:rsidRDefault="00000000" w:rsidRPr="00000000" w14:paraId="00000008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السادة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أعضاء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برلمان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جمهورية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البرتغال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،</w:t>
      </w:r>
    </w:p>
    <w:p w:rsidR="00000000" w:rsidDel="00000000" w:rsidP="00000000" w:rsidRDefault="00000000" w:rsidRPr="00000000" w14:paraId="00000009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أعزائي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الفائزين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المجمع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(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0"/>
        </w:rPr>
        <w:t xml:space="preserve">campus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)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العالمي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لحقوق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السيدة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القاضية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فيرونيكا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غوميز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والسيد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مانفريد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نوفاك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،</w:t>
      </w:r>
    </w:p>
    <w:p w:rsidR="00000000" w:rsidDel="00000000" w:rsidP="00000000" w:rsidRDefault="00000000" w:rsidRPr="00000000" w14:paraId="0000000A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الضيوف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الكرام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، </w:t>
      </w:r>
    </w:p>
    <w:p w:rsidR="00000000" w:rsidDel="00000000" w:rsidP="00000000" w:rsidRDefault="00000000" w:rsidRPr="00000000" w14:paraId="0000000B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السيدات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والسادة</w:t>
      </w:r>
    </w:p>
    <w:p w:rsidR="00000000" w:rsidDel="00000000" w:rsidP="00000000" w:rsidRDefault="00000000" w:rsidRPr="00000000" w14:paraId="0000000D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يسعدني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أقف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أمامكم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اليوم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ببالغ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الامتنان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والتواضع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لتسلم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جائزة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شمال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-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جنوب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وبهذه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المناسبة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أشكر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مجلس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أوروبا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ومركز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شمال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-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جنوب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الجائزة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المشرفة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تتويجي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بهذه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الجائزة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ليس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مجرد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تقدير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لمجهوداتي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الشخصية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الدفاع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فحسب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أيضا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بالنسبة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إقرار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بالتقدم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الكبير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الذي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أحرزه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بلدي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كفالة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الكرامة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والحرية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التكريم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دلالة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خاصة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بالنسبة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لأنه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يتزامن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الذكرى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العشرين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لإحداث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هيئة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الإنصاف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والمصالحة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وكما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تعلمون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تمثل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الهيئة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نموذجا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رائدا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للعدالة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الانتقالية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العالمين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العربي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والإسلامي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فهي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تعد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تجربة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فريدة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العالم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بفضل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اشتغالها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جبر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الأضرار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الجماعية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واعتمادها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لمقاربة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النوع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الاجتماعي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وتقديمها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لتعويضات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فعلية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لضحايا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الانتهاكات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الجسيمة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كما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شكلت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المرحلة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الهامة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بناء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دولة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الحق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والقانون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المغرب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لبنة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أساسية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لمقاربة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مغربية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لحقوق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تقوم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التفاعل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المستمر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المجتمع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المدني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والدولة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وتتميز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بثلاثة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عناصر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رئيسية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: (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)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التوافق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جميع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أصحاب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المصلحة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بدلا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المساومة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(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)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ابتكار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الاستجابات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الأنسب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للسياق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الوطني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(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)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انخراط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جميع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الفاعلين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ضمن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مقاربة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تشاركية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تشمل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الجهات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الاثنتي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عشرة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للمملكة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وبفضل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المقاربة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اعتمد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المجلس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الاستشاري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سابقا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المجلس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الوطني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الذي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أترأسه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حاليا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توصية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المجتمع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المدني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بإنشاء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لجنة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لتقصي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الحقائق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قبل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يوافق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عليها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صاحب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الجلالة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الملك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محمد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السادس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جهة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أخرى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يكن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إصلاح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مدونة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الأسرة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ممكنا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دون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الرؤية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المتبصرة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لجلالة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الملك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الذي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استطاع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يجعل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تردد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المجتمع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سنة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2000،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بشأن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قضية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المرأة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والمساواة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الجنسين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نجاحا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حاسما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ونادرا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المنطقة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وبذات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الرؤية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السيدات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والسادة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يستعد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المغرب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لإصلاح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مدونة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الأسرة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للمرة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الثانية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خلال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عشرين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سنة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كما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فتح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المجال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للنساء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لولوج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مهنة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العدول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بقرار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ملكي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وهو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شكل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منعطفا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تاريخيا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وثورة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حقيقية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وبالتالي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فإن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الحوار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المجتمع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المدني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ومختلف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الفاعلين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المؤسساتيين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مكن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تنفيذ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المبادئ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والقيم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الدولية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بالشكل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الملائم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الوقت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المناسب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أتاح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تملكها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وتعميمها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تدريجيا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لتشمل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المجتمع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بكل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مستوياته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شأن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الزخم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الذي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أعطاه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المجتمع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المدني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لهذه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العملية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المعيارية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يعزز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ترسيخ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مبادئ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ويحث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الفاعلين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المعنيين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العمل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أجل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دعم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المسعى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وأظهرت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الأشواط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قطعها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المغرب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مكافحة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التعذيب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غيره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ضروب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المعاملة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العقوبة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القاسية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اللاإنسانية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المهينة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العملية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متعددة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الاتجاهات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عام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2009،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سهرت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قيادة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جهود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مجموعة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المنظمات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غير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الحكومية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المغربية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الرامية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الترافع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أجل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التصديق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الاتفاقية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الدولية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لحماية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جميع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الأشخاص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الاختفاء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القسري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والبروتوكول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الاختياري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لاتفاقية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مناهضة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التعذيب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وإنشاء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آلية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للوقاية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التعذيب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أحدثت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ضمن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هياكل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المجلس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الوطني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عام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2019،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بناء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توصية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مؤسسية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صادرة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هيئة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الإنصاف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والمصالحة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وتعتبر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الشراكة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القائمة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المجلس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الوطني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والمديرية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العامة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للأمن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الوطني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بالإضافة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البرامج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التدريبية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الدورية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نعقدها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بالتعاون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الدرك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الملكي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فريدة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حيث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نطاقها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الشاسع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الذي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يجمع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النهوض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وحمايتها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ذلك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النهج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المؤسسي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الذي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ننشد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نبني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عليه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علاقاتنا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المؤسسات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الوطنية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النظيرة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بأفريقيا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وتفاعلنا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معهم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وهو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مهدنا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الطريق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نحوه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العام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المنصرم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بمراكش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خلال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تأسيس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الشبكة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الإفريقية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للآليات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الوطنية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للوقاية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التعذيب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والتي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تتخذ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المغرب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مقرا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لأمانتها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الدائمة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ولم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يكن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تفعيل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الإصلاحات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المهيكلة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مجال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المغرب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ليتحقق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دون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الانخراط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الفعلي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لكافة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الأطراف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المعنية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فترسيخ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أسس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دولة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الحق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والقانون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مشروع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مجتمعي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يهم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الدول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كل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مستوياتها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ولا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ينبغي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اعتباره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مآلا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حتميا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إكراها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مناص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قرار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طوعي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وسيادي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يجمع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بتوازن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التقدم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والمساواة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التنمية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وهذا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التوازن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يسعى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النهج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المغربي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مجال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صونه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وتعزيزه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أجل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تحقيق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فعلية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الحقوق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القانونية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المنصوص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عليها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أكثر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ثلث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المواد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الـ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180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دستور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المملكة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يتعين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المقاربة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المغربية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تبلور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إجابات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مناسبة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تراعي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خصوصية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السياق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ودينامياته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يضمن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لجميع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المواطنين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التمتع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الفعلي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بحقوقهم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الأساسية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ويتمثل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الرهان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الرئيسي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الذي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تواجهه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كافة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الدول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لاسيما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دول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الجنوب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ضمان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التمتع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الفعلي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بالحقوق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؛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زلت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اقتناع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إرساء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دولة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القانون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رهين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ببناء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دولة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تضمن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مواطنيها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وتدافع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حرياتهم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ومصالحهم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رأسها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الحق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الحياة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السيدات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والسادة</w:t>
      </w:r>
    </w:p>
    <w:p w:rsidR="00000000" w:rsidDel="00000000" w:rsidP="00000000" w:rsidRDefault="00000000" w:rsidRPr="00000000" w14:paraId="0000001D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تعدد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التحديات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وشموليتها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يمكن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بأي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حال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الأحوال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يقوض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التزامنا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بحماية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والنهوض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ولاسيما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الحق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الحياة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الحق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المتأصل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والأسمى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والمطلق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الذي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تخضع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له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جميع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الحقوق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ومنه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تنبثق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يمكن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التسامح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انتهاك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لهذا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الحق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فلا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يمكن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تبرير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عقوبة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الإعدام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ولا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الفظائع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الناتجة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الصراعات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تجاهلها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عالم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إنساني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بحق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العالم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الذي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يطبعه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الانقسام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والقطبية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أكثر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وقت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مضى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يجب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تكون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المبادرات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دول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الجنوب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ودول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الشمال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قبيل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جائزة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شمال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-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جنوب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مثالا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يحتذى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ونحن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نؤمن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إيمانا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راسخا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بأننا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جميعا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متساوون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ويتعين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علينا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تذكير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أولئك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الذين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ربما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قد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نسوا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الحياة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أثمن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نملك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وبمناسبة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تخليد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اليوم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العالمي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للتنوع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الثقافي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أجل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الحوار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والتنمية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أود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ألفت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انتباهكم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المسؤولية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الثقيلة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تقع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عاتقنا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جميعا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خلال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تاريخنا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المشترك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وتقاليدنا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العريقة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التعايش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السلمي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للعمل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أجل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التزام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مشترك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بالقيم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توحدنا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وهي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المساواة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والتضامن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وعدم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التمييز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الختام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أود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أعرب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خالص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شكري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للشعب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البرتغالي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وممثليه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حفاوة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الاستقبال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بقصر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ساو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بينتو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رمز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التاريخ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العريق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للبرتغال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المرة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الثانية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أتواجد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فيها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داخل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المنشأة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العظيمة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المرة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الأولى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كنت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أرافق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رجلا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أتشرف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أعتبره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شريكي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الجائزة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بكل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تواضع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رجل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علمني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الكثير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قيمة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العمل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الجماعي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وأهمية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الموضوعية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والدقة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والأخلاق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عملنا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للدفاع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رجل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حضر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المكان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لتسلم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الجائزة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المرموقة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إنه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السيد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عبد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الرحمن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اليوسفي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رحمه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الله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وقد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كان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بذلك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أول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مغربي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يتسلم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الجائزة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تلاه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صديقي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العزيز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السيد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أندري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أزولاي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مستشار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جلالة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الملك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الذي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يجب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يكون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التزامه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المستمر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بالحوار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الثقافات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مصدر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إلهام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جميعا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النهاية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أود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أشكر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جميع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الحاضرين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منحي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الفرصة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لأتقاسم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معكم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هذه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الكلمات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حول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تجربتي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الشخصية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كمدافعة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مغربية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حقوق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فعملنا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ليس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عملا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عاديا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بل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هو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بالنسبة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لي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دعوة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وجودية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تستدعي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الانضباط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والعزم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والتواضع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   </w:t>
      </w:r>
      <w:r w:rsidDel="00000000" w:rsidR="00000000" w:rsidRPr="00000000">
        <w:rPr>
          <w:rFonts w:ascii="Arabic Typesetting" w:cs="Arabic Typesetting" w:eastAsia="Arabic Typesetting" w:hAnsi="Arabic Typesetting"/>
          <w:color w:val="26282a"/>
          <w:sz w:val="40"/>
          <w:szCs w:val="40"/>
          <w:highlight w:val="white"/>
          <w:rtl w:val="1"/>
        </w:rPr>
        <w:t xml:space="preserve">إن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الأمر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يتعلق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بالإيمان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الراسخ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بإنسانية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الجميع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والاقتناع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بأن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الكرامة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والعدالة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والمساواة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هي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مصيرنا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المشترك</w:t>
      </w:r>
      <w:r w:rsidDel="00000000" w:rsidR="00000000" w:rsidRPr="00000000">
        <w:rPr>
          <w:rFonts w:ascii="Arabic Typesetting" w:cs="Arabic Typesetting" w:eastAsia="Arabic Typesetting" w:hAnsi="Arabic Typesetting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after="120" w:before="120" w:line="360" w:lineRule="auto"/>
        <w:jc w:val="both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120" w:before="120" w:line="360" w:lineRule="auto"/>
        <w:jc w:val="center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أشكركم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جميعا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abic Typesetting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449F"/>
    <w:pPr>
      <w:spacing w:after="0" w:line="276" w:lineRule="auto"/>
    </w:pPr>
    <w:rPr>
      <w:rFonts w:ascii="Arial" w:cs="Arial" w:eastAsia="Arial" w:hAnsi="Arial"/>
      <w:kern w:val="0"/>
      <w:lang w:eastAsia="fr-FR" w:val="en"/>
    </w:rPr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PFHvbj6KjXCHdsoozSoBMkLMA==">CgMxLjA4AHIhMWV0WTgxSkdHOS1uYjdRaEd5bF9rVUJTQ2JIRUFENEFt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2024-05-21T13:51:00Z</dcterms:created>
  <dc:creator>User</dc:creator>
</cp:coreProperties>
</file>